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2" w:rsidRDefault="007F649D">
      <w:bookmarkStart w:id="0" w:name="_GoBack"/>
      <w:bookmarkEnd w:id="0"/>
      <w:r>
        <w:rPr>
          <w:b/>
          <w:color w:val="0000FF"/>
          <w:sz w:val="20"/>
          <w:szCs w:val="20"/>
        </w:rPr>
        <w:t>7(3)</w:t>
      </w:r>
      <w:r w:rsidR="00CB6182">
        <w:rPr>
          <w:b/>
          <w:sz w:val="20"/>
          <w:szCs w:val="20"/>
        </w:rPr>
        <w:t xml:space="preserve"> </w:t>
      </w:r>
      <w:proofErr w:type="gramStart"/>
      <w:r w:rsidR="00C72304">
        <w:rPr>
          <w:b/>
          <w:sz w:val="20"/>
          <w:szCs w:val="20"/>
        </w:rPr>
        <w:t>NUMBER</w:t>
      </w:r>
      <w:proofErr w:type="gramEnd"/>
      <w:r w:rsidR="00C72304">
        <w:rPr>
          <w:b/>
          <w:sz w:val="20"/>
          <w:szCs w:val="20"/>
        </w:rPr>
        <w:t xml:space="preserve"> into ALGEBRA</w:t>
      </w:r>
    </w:p>
    <w:tbl>
      <w:tblPr>
        <w:tblStyle w:val="TableGrid"/>
        <w:tblW w:w="8931" w:type="dxa"/>
        <w:tblInd w:w="108" w:type="dxa"/>
        <w:tblLayout w:type="fixed"/>
        <w:tblLook w:val="04A0" w:firstRow="1" w:lastRow="0" w:firstColumn="1" w:lastColumn="0" w:noHBand="0" w:noVBand="1"/>
      </w:tblPr>
      <w:tblGrid>
        <w:gridCol w:w="1276"/>
        <w:gridCol w:w="7655"/>
      </w:tblGrid>
      <w:tr w:rsidR="007F649D" w:rsidRPr="00C72304" w:rsidTr="00C72304">
        <w:tc>
          <w:tcPr>
            <w:tcW w:w="1276" w:type="dxa"/>
          </w:tcPr>
          <w:p w:rsidR="007F649D" w:rsidRPr="00C72304" w:rsidRDefault="007F649D" w:rsidP="00C72304">
            <w:pPr>
              <w:spacing w:before="120" w:after="120"/>
              <w:rPr>
                <w:b/>
                <w:color w:val="000000" w:themeColor="text1"/>
              </w:rPr>
            </w:pPr>
            <w:r>
              <w:rPr>
                <w:b/>
                <w:color w:val="000000" w:themeColor="text1"/>
              </w:rPr>
              <w:t>Title</w:t>
            </w:r>
          </w:p>
        </w:tc>
        <w:tc>
          <w:tcPr>
            <w:tcW w:w="7655" w:type="dxa"/>
          </w:tcPr>
          <w:p w:rsidR="007F649D" w:rsidRDefault="00850BF9"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Expanding and Factorising</w:t>
            </w:r>
          </w:p>
        </w:tc>
      </w:tr>
      <w:tr w:rsidR="00C72304" w:rsidRPr="00C72304" w:rsidTr="00C72304">
        <w:tc>
          <w:tcPr>
            <w:tcW w:w="1276" w:type="dxa"/>
          </w:tcPr>
          <w:p w:rsidR="00C72304" w:rsidRPr="00C72304" w:rsidRDefault="00C72304" w:rsidP="00C72304">
            <w:pPr>
              <w:spacing w:before="120" w:after="120"/>
              <w:rPr>
                <w:b/>
                <w:color w:val="000000" w:themeColor="text1"/>
              </w:rPr>
            </w:pPr>
            <w:r w:rsidRPr="00C72304">
              <w:rPr>
                <w:b/>
                <w:color w:val="000000" w:themeColor="text1"/>
              </w:rPr>
              <w:t>Hours</w:t>
            </w:r>
          </w:p>
        </w:tc>
        <w:tc>
          <w:tcPr>
            <w:tcW w:w="7655" w:type="dxa"/>
          </w:tcPr>
          <w:p w:rsidR="00C72304" w:rsidRPr="00C72304" w:rsidRDefault="00850BF9"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1 </w:t>
            </w:r>
          </w:p>
        </w:tc>
      </w:tr>
      <w:tr w:rsidR="00C72304" w:rsidRPr="00C72304" w:rsidTr="00C72304">
        <w:tc>
          <w:tcPr>
            <w:tcW w:w="1276" w:type="dxa"/>
          </w:tcPr>
          <w:p w:rsidR="00C72304" w:rsidRPr="00C72304" w:rsidRDefault="00C72304" w:rsidP="00C72304">
            <w:pPr>
              <w:spacing w:before="120" w:after="120"/>
              <w:rPr>
                <w:b/>
              </w:rPr>
            </w:pPr>
            <w:r w:rsidRPr="00C72304">
              <w:rPr>
                <w:b/>
              </w:rPr>
              <w:t>Aims</w:t>
            </w:r>
          </w:p>
        </w:tc>
        <w:tc>
          <w:tcPr>
            <w:tcW w:w="7655" w:type="dxa"/>
          </w:tcPr>
          <w:p w:rsidR="00C72304" w:rsidRDefault="00850BF9" w:rsidP="00C72304">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Collecting like terms</w:t>
            </w:r>
          </w:p>
          <w:p w:rsidR="00C72304" w:rsidRDefault="00850BF9"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Expanding brackets</w:t>
            </w:r>
          </w:p>
          <w:p w:rsidR="000866EB" w:rsidRPr="000866EB" w:rsidRDefault="00850BF9"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Factorising</w:t>
            </w:r>
          </w:p>
        </w:tc>
      </w:tr>
      <w:tr w:rsidR="00C72304" w:rsidRPr="00C72304" w:rsidTr="008C7E9F">
        <w:tc>
          <w:tcPr>
            <w:tcW w:w="1276" w:type="dxa"/>
          </w:tcPr>
          <w:p w:rsidR="00C72304" w:rsidRPr="00C72304" w:rsidRDefault="00C72304" w:rsidP="00C72304">
            <w:pPr>
              <w:spacing w:before="120" w:after="120"/>
              <w:rPr>
                <w:b/>
              </w:rPr>
            </w:pPr>
            <w:r w:rsidRPr="00C72304">
              <w:rPr>
                <w:b/>
              </w:rPr>
              <w:t>Pedagogy</w:t>
            </w:r>
          </w:p>
        </w:tc>
        <w:tc>
          <w:tcPr>
            <w:tcW w:w="7655" w:type="dxa"/>
            <w:tcBorders>
              <w:bottom w:val="single" w:sz="4" w:space="0" w:color="auto"/>
            </w:tcBorders>
            <w:shd w:val="clear" w:color="auto" w:fill="FF0000"/>
          </w:tcPr>
          <w:p w:rsidR="00C72304" w:rsidRPr="00C72304" w:rsidRDefault="00C72304" w:rsidP="00C72304">
            <w:pPr>
              <w:pStyle w:val="bulletundertext"/>
              <w:spacing w:before="120" w:after="120" w:line="240" w:lineRule="auto"/>
              <w:ind w:left="0"/>
              <w:rPr>
                <w:rFonts w:asciiTheme="minorHAnsi" w:hAnsiTheme="minorHAnsi"/>
                <w:sz w:val="22"/>
                <w:szCs w:val="22"/>
              </w:rPr>
            </w:pPr>
            <w:r w:rsidRPr="00C72304">
              <w:rPr>
                <w:rFonts w:asciiTheme="minorHAnsi" w:hAnsiTheme="minorHAnsi"/>
                <w:sz w:val="22"/>
                <w:szCs w:val="22"/>
              </w:rPr>
              <w:t>Fluency</w:t>
            </w:r>
          </w:p>
        </w:tc>
      </w:tr>
      <w:tr w:rsidR="00C72304" w:rsidRPr="00C72304" w:rsidTr="008C7E9F">
        <w:trPr>
          <w:trHeight w:val="550"/>
        </w:trPr>
        <w:tc>
          <w:tcPr>
            <w:tcW w:w="1276" w:type="dxa"/>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7655" w:type="dxa"/>
            <w:tcBorders>
              <w:bottom w:val="single" w:sz="4" w:space="0" w:color="auto"/>
            </w:tcBorders>
          </w:tcPr>
          <w:p w:rsidR="000866EB" w:rsidRPr="000866EB" w:rsidRDefault="000866EB" w:rsidP="000866EB">
            <w:pPr>
              <w:pStyle w:val="bulletundertext"/>
              <w:numPr>
                <w:ilvl w:val="0"/>
                <w:numId w:val="0"/>
              </w:numPr>
              <w:spacing w:before="60" w:after="6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Starter</w:t>
            </w:r>
          </w:p>
          <w:p w:rsidR="007F649D" w:rsidRPr="008C7E9F" w:rsidRDefault="000866EB" w:rsidP="000866EB">
            <w:pPr>
              <w:pStyle w:val="bulletundertext"/>
              <w:numPr>
                <w:ilvl w:val="0"/>
                <w:numId w:val="0"/>
              </w:numPr>
              <w:spacing w:before="60" w:after="6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 xml:space="preserve">Show pupils </w:t>
            </w:r>
            <w:proofErr w:type="gramStart"/>
            <w:r w:rsidRPr="000866EB">
              <w:rPr>
                <w:rFonts w:asciiTheme="minorHAnsi" w:hAnsiTheme="minorHAnsi"/>
                <w:color w:val="000000" w:themeColor="text1"/>
                <w:sz w:val="22"/>
                <w:szCs w:val="22"/>
              </w:rPr>
              <w:t xml:space="preserve">the </w:t>
            </w:r>
            <w:r w:rsidR="00850BF9">
              <w:rPr>
                <w:rFonts w:asciiTheme="minorHAnsi" w:hAnsiTheme="minorHAnsi"/>
                <w:color w:val="000000" w:themeColor="text1"/>
                <w:sz w:val="22"/>
                <w:szCs w:val="22"/>
              </w:rPr>
              <w:t xml:space="preserve"> compound</w:t>
            </w:r>
            <w:proofErr w:type="gramEnd"/>
            <w:r w:rsidR="00850BF9">
              <w:rPr>
                <w:rFonts w:asciiTheme="minorHAnsi" w:hAnsiTheme="minorHAnsi"/>
                <w:color w:val="000000" w:themeColor="text1"/>
                <w:sz w:val="22"/>
                <w:szCs w:val="22"/>
              </w:rPr>
              <w:t xml:space="preserve"> shape and ask them if they can write an expression for the perimeter. </w:t>
            </w:r>
            <w:r w:rsidRPr="000866EB">
              <w:rPr>
                <w:rFonts w:asciiTheme="minorHAnsi" w:hAnsiTheme="minorHAnsi"/>
                <w:color w:val="000000" w:themeColor="text1"/>
                <w:sz w:val="22"/>
                <w:szCs w:val="22"/>
              </w:rPr>
              <w:t>Collect ideas from the groups to share with the class.</w:t>
            </w:r>
            <w:r w:rsidR="00850BF9">
              <w:rPr>
                <w:rFonts w:asciiTheme="minorHAnsi" w:hAnsiTheme="minorHAnsi"/>
                <w:color w:val="000000" w:themeColor="text1"/>
                <w:sz w:val="22"/>
                <w:szCs w:val="22"/>
              </w:rPr>
              <w:t xml:space="preserve"> </w:t>
            </w:r>
            <w:proofErr w:type="gramStart"/>
            <w:r w:rsidR="00850BF9">
              <w:rPr>
                <w:rFonts w:asciiTheme="minorHAnsi" w:hAnsiTheme="minorHAnsi"/>
                <w:color w:val="000000" w:themeColor="text1"/>
                <w:sz w:val="22"/>
                <w:szCs w:val="22"/>
              </w:rPr>
              <w:t>The discuss</w:t>
            </w:r>
            <w:proofErr w:type="gramEnd"/>
            <w:r w:rsidR="00850BF9">
              <w:rPr>
                <w:rFonts w:asciiTheme="minorHAnsi" w:hAnsiTheme="minorHAnsi"/>
                <w:color w:val="000000" w:themeColor="text1"/>
                <w:sz w:val="22"/>
                <w:szCs w:val="22"/>
              </w:rPr>
              <w:t xml:space="preserve"> what x would be if the perimeter was 56.</w:t>
            </w:r>
          </w:p>
          <w:p w:rsidR="000866EB" w:rsidRPr="000866EB" w:rsidRDefault="000866EB" w:rsidP="000866EB">
            <w:pPr>
              <w:pStyle w:val="bulletundertext"/>
              <w:numPr>
                <w:ilvl w:val="0"/>
                <w:numId w:val="0"/>
              </w:numPr>
              <w:spacing w:before="120" w:after="12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Main Activity</w:t>
            </w:r>
          </w:p>
          <w:p w:rsidR="00850BF9" w:rsidRDefault="00850BF9" w:rsidP="000866EB">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Ask pupils to RAG rate the 12 sets of questions but explain that they should not attempt to answer them at this point.</w:t>
            </w:r>
          </w:p>
          <w:p w:rsidR="00850BF9" w:rsidRDefault="00850BF9" w:rsidP="000866EB">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Use the mini whiteboard activity to provide opportunities for pupils to share explanations of expanding with the class. This should also be used as an opportunity to identify and address misconceptions.</w:t>
            </w:r>
          </w:p>
          <w:p w:rsidR="00850BF9" w:rsidRDefault="00850BF9" w:rsidP="000866EB">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Pupils should then be </w:t>
            </w:r>
            <w:proofErr w:type="gramStart"/>
            <w:r>
              <w:rPr>
                <w:rFonts w:asciiTheme="minorHAnsi" w:hAnsiTheme="minorHAnsi"/>
                <w:color w:val="000000" w:themeColor="text1"/>
                <w:sz w:val="22"/>
                <w:szCs w:val="22"/>
              </w:rPr>
              <w:t>answer</w:t>
            </w:r>
            <w:proofErr w:type="gramEnd"/>
            <w:r>
              <w:rPr>
                <w:rFonts w:asciiTheme="minorHAnsi" w:hAnsiTheme="minorHAnsi"/>
                <w:color w:val="000000" w:themeColor="text1"/>
                <w:sz w:val="22"/>
                <w:szCs w:val="22"/>
              </w:rPr>
              <w:t xml:space="preserve"> the sets of questions, starting with the ones that they rated amber at the start of the lesson. (The mini whiteboard activity should have provided them with enough explanation to attempt these now.) Check to see if any pupils are starting on the factorising questions and offer them help first.</w:t>
            </w:r>
          </w:p>
          <w:p w:rsidR="000866EB" w:rsidRPr="00850BF9" w:rsidRDefault="000866EB" w:rsidP="000866EB">
            <w:pPr>
              <w:pStyle w:val="bulletundertext"/>
              <w:numPr>
                <w:ilvl w:val="0"/>
                <w:numId w:val="0"/>
              </w:numPr>
              <w:spacing w:after="0" w:line="240" w:lineRule="auto"/>
              <w:rPr>
                <w:rFonts w:asciiTheme="minorHAnsi" w:hAnsiTheme="minorHAnsi"/>
                <w:color w:val="000000" w:themeColor="text1"/>
                <w:sz w:val="22"/>
                <w:szCs w:val="22"/>
                <w:u w:val="single"/>
              </w:rPr>
            </w:pPr>
            <w:r w:rsidRPr="00850BF9">
              <w:rPr>
                <w:rFonts w:asciiTheme="minorHAnsi" w:hAnsiTheme="minorHAnsi"/>
                <w:color w:val="000000" w:themeColor="text1"/>
                <w:sz w:val="22"/>
                <w:szCs w:val="22"/>
                <w:u w:val="single"/>
              </w:rPr>
              <w:t xml:space="preserve">Plenary  </w:t>
            </w:r>
          </w:p>
          <w:p w:rsidR="000866EB" w:rsidRDefault="00850BF9" w:rsidP="00850BF9">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Think / pair /share</w:t>
            </w:r>
          </w:p>
          <w:p w:rsidR="00850BF9" w:rsidRPr="00C72304" w:rsidRDefault="00850BF9" w:rsidP="00850BF9">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Pupils to identify and correct the errors and answer the ‘convince me’ questions.</w:t>
            </w:r>
          </w:p>
        </w:tc>
      </w:tr>
      <w:tr w:rsidR="00C72304" w:rsidRPr="00C72304" w:rsidTr="008C7E9F">
        <w:trPr>
          <w:trHeight w:val="416"/>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&gt;H</w:t>
            </w:r>
          </w:p>
        </w:tc>
        <w:tc>
          <w:tcPr>
            <w:tcW w:w="7655" w:type="dxa"/>
            <w:tcBorders>
              <w:top w:val="single" w:sz="4" w:space="0" w:color="auto"/>
            </w:tcBorders>
            <w:shd w:val="clear" w:color="auto" w:fill="000000" w:themeFill="text1"/>
          </w:tcPr>
          <w:p w:rsidR="00C72304" w:rsidRPr="00C72304" w:rsidRDefault="00266BD9" w:rsidP="00C72304">
            <w:pPr>
              <w:pStyle w:val="bulletundertext"/>
              <w:numPr>
                <w:ilvl w:val="0"/>
                <w:numId w:val="0"/>
              </w:numPr>
              <w:spacing w:before="120" w:after="120" w:line="240" w:lineRule="auto"/>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Pupils to </w:t>
            </w:r>
            <w:proofErr w:type="spellStart"/>
            <w:r>
              <w:rPr>
                <w:rFonts w:asciiTheme="minorHAnsi" w:hAnsiTheme="minorHAnsi"/>
                <w:b/>
                <w:color w:val="FFFFFF" w:themeColor="background1"/>
                <w:sz w:val="20"/>
                <w:szCs w:val="20"/>
              </w:rPr>
              <w:t>faactorise</w:t>
            </w:r>
            <w:proofErr w:type="spellEnd"/>
            <w:r>
              <w:rPr>
                <w:rFonts w:asciiTheme="minorHAnsi" w:hAnsiTheme="minorHAnsi"/>
                <w:b/>
                <w:color w:val="FFFFFF" w:themeColor="background1"/>
                <w:sz w:val="20"/>
                <w:szCs w:val="20"/>
              </w:rPr>
              <w:t xml:space="preserve"> </w:t>
            </w:r>
            <w:r w:rsidR="008B156E">
              <w:rPr>
                <w:rFonts w:asciiTheme="minorHAnsi" w:hAnsiTheme="minorHAnsi"/>
                <w:b/>
                <w:color w:val="FFFFFF" w:themeColor="background1"/>
                <w:sz w:val="20"/>
                <w:szCs w:val="20"/>
              </w:rPr>
              <w:t xml:space="preserve">and </w:t>
            </w:r>
            <w:r>
              <w:rPr>
                <w:rFonts w:asciiTheme="minorHAnsi" w:hAnsiTheme="minorHAnsi"/>
                <w:b/>
                <w:color w:val="FFFFFF" w:themeColor="background1"/>
                <w:sz w:val="20"/>
                <w:szCs w:val="20"/>
              </w:rPr>
              <w:t>quadratic expressions.</w:t>
            </w:r>
          </w:p>
        </w:tc>
      </w:tr>
      <w:tr w:rsidR="00C72304" w:rsidRPr="00C72304" w:rsidTr="00C72304">
        <w:trPr>
          <w:trHeight w:val="36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H</w:t>
            </w:r>
          </w:p>
        </w:tc>
        <w:tc>
          <w:tcPr>
            <w:tcW w:w="7655" w:type="dxa"/>
            <w:shd w:val="clear" w:color="auto" w:fill="808080" w:themeFill="background1" w:themeFillShade="80"/>
          </w:tcPr>
          <w:p w:rsidR="00C72304" w:rsidRPr="00C72304" w:rsidRDefault="00266BD9" w:rsidP="00C72304">
            <w:pPr>
              <w:pStyle w:val="bulletundertext"/>
              <w:numPr>
                <w:ilvl w:val="0"/>
                <w:numId w:val="0"/>
              </w:numPr>
              <w:spacing w:before="120" w:after="120"/>
              <w:rPr>
                <w:rFonts w:ascii="Calibri" w:hAnsi="Calibri"/>
                <w:color w:val="FFFFFF" w:themeColor="background1"/>
                <w:sz w:val="20"/>
                <w:szCs w:val="20"/>
              </w:rPr>
            </w:pPr>
            <w:r>
              <w:rPr>
                <w:rFonts w:ascii="Calibri" w:hAnsi="Calibri"/>
                <w:color w:val="FFFFFF" w:themeColor="background1"/>
                <w:sz w:val="20"/>
                <w:szCs w:val="20"/>
              </w:rPr>
              <w:t>Pupil</w:t>
            </w:r>
            <w:r w:rsidR="008B156E">
              <w:rPr>
                <w:rFonts w:ascii="Calibri" w:hAnsi="Calibri"/>
                <w:color w:val="FFFFFF" w:themeColor="background1"/>
                <w:sz w:val="20"/>
                <w:szCs w:val="20"/>
              </w:rPr>
              <w:t>s to factorise and expand single</w:t>
            </w:r>
            <w:r>
              <w:rPr>
                <w:rFonts w:ascii="Calibri" w:hAnsi="Calibri"/>
                <w:color w:val="FFFFFF" w:themeColor="background1"/>
                <w:sz w:val="20"/>
                <w:szCs w:val="20"/>
              </w:rPr>
              <w:t xml:space="preserve"> brackets.</w:t>
            </w:r>
          </w:p>
        </w:tc>
      </w:tr>
      <w:tr w:rsidR="00C72304" w:rsidRPr="00C72304" w:rsidTr="00C72304">
        <w:trPr>
          <w:trHeight w:val="41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M</w:t>
            </w:r>
          </w:p>
        </w:tc>
        <w:tc>
          <w:tcPr>
            <w:tcW w:w="7655" w:type="dxa"/>
            <w:shd w:val="clear" w:color="auto" w:fill="BFBFBF" w:themeFill="background1" w:themeFillShade="BF"/>
          </w:tcPr>
          <w:p w:rsidR="00C72304" w:rsidRPr="00C72304" w:rsidRDefault="008B156E" w:rsidP="00C72304">
            <w:pPr>
              <w:pStyle w:val="bulletundertext"/>
              <w:numPr>
                <w:ilvl w:val="0"/>
                <w:numId w:val="0"/>
              </w:numPr>
              <w:spacing w:before="120" w:after="120" w:line="240" w:lineRule="auto"/>
              <w:rPr>
                <w:rFonts w:ascii="Calibri" w:hAnsi="Calibri"/>
                <w:b/>
                <w:sz w:val="20"/>
                <w:szCs w:val="20"/>
              </w:rPr>
            </w:pPr>
            <w:r>
              <w:rPr>
                <w:rFonts w:ascii="Calibri" w:hAnsi="Calibri"/>
                <w:b/>
                <w:sz w:val="20"/>
                <w:szCs w:val="20"/>
              </w:rPr>
              <w:t>Pupils to expand single brackets with positive and negative terms.</w:t>
            </w:r>
          </w:p>
        </w:tc>
      </w:tr>
      <w:tr w:rsidR="00C72304" w:rsidRPr="00C72304" w:rsidTr="00C72304">
        <w:trPr>
          <w:trHeight w:val="557"/>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w:t>
            </w:r>
          </w:p>
        </w:tc>
        <w:tc>
          <w:tcPr>
            <w:tcW w:w="7655" w:type="dxa"/>
            <w:shd w:val="clear" w:color="auto" w:fill="F2F2F2" w:themeFill="background1" w:themeFillShade="F2"/>
          </w:tcPr>
          <w:p w:rsidR="00C72304" w:rsidRPr="00C72304" w:rsidRDefault="008B156E" w:rsidP="000866EB">
            <w:pPr>
              <w:pStyle w:val="bulletundertext"/>
              <w:numPr>
                <w:ilvl w:val="0"/>
                <w:numId w:val="0"/>
              </w:numPr>
              <w:spacing w:before="120" w:after="120" w:line="240" w:lineRule="auto"/>
              <w:ind w:left="357" w:hanging="357"/>
              <w:rPr>
                <w:rFonts w:asciiTheme="minorHAnsi" w:hAnsiTheme="minorHAnsi"/>
                <w:b/>
                <w:sz w:val="20"/>
                <w:szCs w:val="20"/>
              </w:rPr>
            </w:pPr>
            <w:r>
              <w:rPr>
                <w:rFonts w:asciiTheme="minorHAnsi" w:hAnsiTheme="minorHAnsi"/>
                <w:b/>
                <w:sz w:val="20"/>
                <w:szCs w:val="20"/>
              </w:rPr>
              <w:t>Pupils to expand single brackets with positive terms.</w:t>
            </w:r>
          </w:p>
        </w:tc>
      </w:tr>
      <w:tr w:rsidR="00C72304" w:rsidRPr="00C72304" w:rsidTr="00C72304">
        <w:trPr>
          <w:trHeight w:val="542"/>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&lt;L</w:t>
            </w:r>
          </w:p>
        </w:tc>
        <w:tc>
          <w:tcPr>
            <w:tcW w:w="7655" w:type="dxa"/>
          </w:tcPr>
          <w:p w:rsidR="00C72304" w:rsidRPr="00C72304" w:rsidRDefault="008B156E" w:rsidP="00C72304">
            <w:pPr>
              <w:pStyle w:val="bulletundertext"/>
              <w:numPr>
                <w:ilvl w:val="0"/>
                <w:numId w:val="0"/>
              </w:numPr>
              <w:spacing w:before="120" w:after="120" w:line="240" w:lineRule="auto"/>
              <w:rPr>
                <w:rFonts w:asciiTheme="minorHAnsi" w:hAnsiTheme="minorHAnsi"/>
                <w:sz w:val="20"/>
                <w:szCs w:val="20"/>
              </w:rPr>
            </w:pPr>
            <w:r>
              <w:rPr>
                <w:rFonts w:asciiTheme="minorHAnsi" w:hAnsiTheme="minorHAnsi"/>
                <w:sz w:val="20"/>
                <w:szCs w:val="20"/>
              </w:rPr>
              <w:t>Be to collect like terms and simplify.</w:t>
            </w:r>
          </w:p>
        </w:tc>
      </w:tr>
    </w:tbl>
    <w:p w:rsidR="008C3894" w:rsidRPr="00C877D3" w:rsidRDefault="008C3894" w:rsidP="00C72304">
      <w:pPr>
        <w:spacing w:before="120" w:after="120"/>
        <w:rPr>
          <w:sz w:val="20"/>
          <w:szCs w:val="20"/>
        </w:rPr>
      </w:pPr>
    </w:p>
    <w:sectPr w:rsidR="008C3894" w:rsidRPr="00C877D3" w:rsidSect="00C7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2"/>
    <w:rsid w:val="000866EB"/>
    <w:rsid w:val="00242B81"/>
    <w:rsid w:val="00266BD9"/>
    <w:rsid w:val="003B747A"/>
    <w:rsid w:val="005266BD"/>
    <w:rsid w:val="006A6C80"/>
    <w:rsid w:val="006D2B26"/>
    <w:rsid w:val="007724E8"/>
    <w:rsid w:val="007F649D"/>
    <w:rsid w:val="00850BF9"/>
    <w:rsid w:val="00881564"/>
    <w:rsid w:val="008B156E"/>
    <w:rsid w:val="008C3894"/>
    <w:rsid w:val="008C7E9F"/>
    <w:rsid w:val="00BE1BD9"/>
    <w:rsid w:val="00C72304"/>
    <w:rsid w:val="00C877D3"/>
    <w:rsid w:val="00CB6182"/>
    <w:rsid w:val="00D0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zeb1</cp:lastModifiedBy>
  <cp:revision>2</cp:revision>
  <dcterms:created xsi:type="dcterms:W3CDTF">2015-01-31T10:33:00Z</dcterms:created>
  <dcterms:modified xsi:type="dcterms:W3CDTF">2015-01-31T10:33:00Z</dcterms:modified>
</cp:coreProperties>
</file>