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82" w:rsidRDefault="007F649D">
      <w:r>
        <w:rPr>
          <w:b/>
          <w:color w:val="0000FF"/>
          <w:sz w:val="20"/>
          <w:szCs w:val="20"/>
        </w:rPr>
        <w:t>7(3)</w:t>
      </w:r>
      <w:r w:rsidR="00CB6182">
        <w:rPr>
          <w:b/>
          <w:sz w:val="20"/>
          <w:szCs w:val="20"/>
        </w:rPr>
        <w:t xml:space="preserve"> </w:t>
      </w:r>
      <w:proofErr w:type="gramStart"/>
      <w:r w:rsidR="00C72304">
        <w:rPr>
          <w:b/>
          <w:sz w:val="20"/>
          <w:szCs w:val="20"/>
        </w:rPr>
        <w:t>NUMBER</w:t>
      </w:r>
      <w:proofErr w:type="gramEnd"/>
      <w:r w:rsidR="00C72304">
        <w:rPr>
          <w:b/>
          <w:sz w:val="20"/>
          <w:szCs w:val="20"/>
        </w:rPr>
        <w:t xml:space="preserve"> into ALGEBRA</w:t>
      </w:r>
    </w:p>
    <w:tbl>
      <w:tblPr>
        <w:tblStyle w:val="TableGrid"/>
        <w:tblW w:w="8931" w:type="dxa"/>
        <w:tblInd w:w="108" w:type="dxa"/>
        <w:tblLayout w:type="fixed"/>
        <w:tblLook w:val="04A0" w:firstRow="1" w:lastRow="0" w:firstColumn="1" w:lastColumn="0" w:noHBand="0" w:noVBand="1"/>
      </w:tblPr>
      <w:tblGrid>
        <w:gridCol w:w="1276"/>
        <w:gridCol w:w="7655"/>
      </w:tblGrid>
      <w:tr w:rsidR="007F649D" w:rsidRPr="00C72304" w:rsidTr="00C72304">
        <w:tc>
          <w:tcPr>
            <w:tcW w:w="1276" w:type="dxa"/>
          </w:tcPr>
          <w:p w:rsidR="007F649D" w:rsidRPr="00C72304" w:rsidRDefault="007F649D" w:rsidP="00C72304">
            <w:pPr>
              <w:spacing w:before="120" w:after="120"/>
              <w:rPr>
                <w:b/>
                <w:color w:val="000000" w:themeColor="text1"/>
              </w:rPr>
            </w:pPr>
            <w:r>
              <w:rPr>
                <w:b/>
                <w:color w:val="000000" w:themeColor="text1"/>
              </w:rPr>
              <w:t>Title</w:t>
            </w:r>
          </w:p>
        </w:tc>
        <w:tc>
          <w:tcPr>
            <w:tcW w:w="7655" w:type="dxa"/>
          </w:tcPr>
          <w:p w:rsidR="007F649D" w:rsidRDefault="00A2165D" w:rsidP="00C72304">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Matching</w:t>
            </w:r>
            <w:r w:rsidR="007A2331">
              <w:rPr>
                <w:rFonts w:asciiTheme="minorHAnsi" w:hAnsiTheme="minorHAnsi"/>
                <w:color w:val="000000" w:themeColor="text1"/>
                <w:sz w:val="22"/>
                <w:szCs w:val="22"/>
              </w:rPr>
              <w:t xml:space="preserve"> Expressions</w:t>
            </w:r>
          </w:p>
        </w:tc>
      </w:tr>
      <w:tr w:rsidR="00C72304" w:rsidRPr="00C72304" w:rsidTr="00C72304">
        <w:tc>
          <w:tcPr>
            <w:tcW w:w="1276" w:type="dxa"/>
          </w:tcPr>
          <w:p w:rsidR="00C72304" w:rsidRPr="00C72304" w:rsidRDefault="00C72304" w:rsidP="00C72304">
            <w:pPr>
              <w:spacing w:before="120" w:after="120"/>
              <w:rPr>
                <w:b/>
                <w:color w:val="000000" w:themeColor="text1"/>
              </w:rPr>
            </w:pPr>
            <w:r w:rsidRPr="00C72304">
              <w:rPr>
                <w:b/>
                <w:color w:val="000000" w:themeColor="text1"/>
              </w:rPr>
              <w:t>Hours</w:t>
            </w:r>
          </w:p>
        </w:tc>
        <w:tc>
          <w:tcPr>
            <w:tcW w:w="7655" w:type="dxa"/>
          </w:tcPr>
          <w:p w:rsidR="00C72304" w:rsidRPr="00C72304" w:rsidRDefault="00C72304" w:rsidP="00CA5DC2">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1 </w:t>
            </w:r>
          </w:p>
        </w:tc>
      </w:tr>
      <w:tr w:rsidR="00C72304" w:rsidRPr="00C72304" w:rsidTr="00C72304">
        <w:tc>
          <w:tcPr>
            <w:tcW w:w="1276" w:type="dxa"/>
          </w:tcPr>
          <w:p w:rsidR="00C72304" w:rsidRPr="00C72304" w:rsidRDefault="00C72304" w:rsidP="00C72304">
            <w:pPr>
              <w:spacing w:before="120" w:after="120"/>
              <w:rPr>
                <w:b/>
              </w:rPr>
            </w:pPr>
            <w:r w:rsidRPr="00C72304">
              <w:rPr>
                <w:b/>
              </w:rPr>
              <w:t>Aims</w:t>
            </w:r>
          </w:p>
        </w:tc>
        <w:tc>
          <w:tcPr>
            <w:tcW w:w="7655" w:type="dxa"/>
          </w:tcPr>
          <w:p w:rsidR="007A2331" w:rsidRDefault="00A2165D" w:rsidP="00E123F4">
            <w:pPr>
              <w:pStyle w:val="bulletundertext"/>
              <w:numPr>
                <w:ilvl w:val="0"/>
                <w:numId w:val="0"/>
              </w:numPr>
              <w:spacing w:after="0" w:line="240" w:lineRule="auto"/>
              <w:rPr>
                <w:rFonts w:asciiTheme="minorHAnsi" w:hAnsiTheme="minorHAnsi"/>
                <w:sz w:val="22"/>
                <w:szCs w:val="22"/>
              </w:rPr>
            </w:pPr>
            <w:r>
              <w:rPr>
                <w:rFonts w:asciiTheme="minorHAnsi" w:hAnsiTheme="minorHAnsi"/>
                <w:sz w:val="22"/>
                <w:szCs w:val="22"/>
              </w:rPr>
              <w:t>To understand the meaning of algebraic expressions. To be able to match algebraic expressions to their meaning in words.</w:t>
            </w:r>
          </w:p>
          <w:p w:rsidR="000866EB" w:rsidRPr="000866EB" w:rsidRDefault="000866EB" w:rsidP="007A2331">
            <w:pPr>
              <w:pStyle w:val="bulletundertext"/>
              <w:numPr>
                <w:ilvl w:val="0"/>
                <w:numId w:val="0"/>
              </w:numPr>
              <w:spacing w:after="0" w:line="240" w:lineRule="auto"/>
              <w:ind w:left="-20"/>
              <w:rPr>
                <w:rFonts w:asciiTheme="minorHAnsi" w:hAnsiTheme="minorHAnsi"/>
                <w:sz w:val="22"/>
                <w:szCs w:val="22"/>
              </w:rPr>
            </w:pPr>
          </w:p>
        </w:tc>
      </w:tr>
      <w:tr w:rsidR="00C72304" w:rsidRPr="00C72304" w:rsidTr="008C7E9F">
        <w:tc>
          <w:tcPr>
            <w:tcW w:w="1276" w:type="dxa"/>
          </w:tcPr>
          <w:p w:rsidR="00C72304" w:rsidRPr="00C72304" w:rsidRDefault="00C72304" w:rsidP="00C72304">
            <w:pPr>
              <w:spacing w:before="120" w:after="120"/>
              <w:rPr>
                <w:b/>
              </w:rPr>
            </w:pPr>
            <w:r w:rsidRPr="00C72304">
              <w:rPr>
                <w:b/>
              </w:rPr>
              <w:t>Pedagogy</w:t>
            </w:r>
          </w:p>
        </w:tc>
        <w:tc>
          <w:tcPr>
            <w:tcW w:w="7655" w:type="dxa"/>
            <w:tcBorders>
              <w:bottom w:val="single" w:sz="4" w:space="0" w:color="auto"/>
            </w:tcBorders>
            <w:shd w:val="clear" w:color="auto" w:fill="FF0000"/>
          </w:tcPr>
          <w:p w:rsidR="00C72304" w:rsidRPr="00C72304" w:rsidRDefault="00C72304" w:rsidP="00C72304">
            <w:pPr>
              <w:pStyle w:val="bulletundertext"/>
              <w:spacing w:before="120" w:after="120" w:line="240" w:lineRule="auto"/>
              <w:ind w:left="0"/>
              <w:rPr>
                <w:rFonts w:asciiTheme="minorHAnsi" w:hAnsiTheme="minorHAnsi"/>
                <w:sz w:val="22"/>
                <w:szCs w:val="22"/>
              </w:rPr>
            </w:pPr>
            <w:r w:rsidRPr="00C72304">
              <w:rPr>
                <w:rFonts w:asciiTheme="minorHAnsi" w:hAnsiTheme="minorHAnsi"/>
                <w:sz w:val="22"/>
                <w:szCs w:val="22"/>
              </w:rPr>
              <w:t>Fluency</w:t>
            </w:r>
          </w:p>
        </w:tc>
      </w:tr>
      <w:tr w:rsidR="00C72304" w:rsidRPr="00C72304" w:rsidTr="008C7E9F">
        <w:trPr>
          <w:trHeight w:val="550"/>
        </w:trPr>
        <w:tc>
          <w:tcPr>
            <w:tcW w:w="1276" w:type="dxa"/>
          </w:tcPr>
          <w:p w:rsidR="00C72304" w:rsidRPr="00C72304" w:rsidRDefault="00C72304" w:rsidP="00C72304">
            <w:pPr>
              <w:pStyle w:val="bulletundertext"/>
              <w:numPr>
                <w:ilvl w:val="0"/>
                <w:numId w:val="0"/>
              </w:numPr>
              <w:spacing w:before="120" w:after="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Activity</w:t>
            </w:r>
          </w:p>
          <w:p w:rsidR="00C72304" w:rsidRPr="00C72304" w:rsidRDefault="00C72304" w:rsidP="00C72304">
            <w:pPr>
              <w:pStyle w:val="bulletundertext"/>
              <w:numPr>
                <w:ilvl w:val="0"/>
                <w:numId w:val="0"/>
              </w:numPr>
              <w:spacing w:after="120" w:line="240" w:lineRule="auto"/>
              <w:rPr>
                <w:rFonts w:asciiTheme="minorHAnsi" w:hAnsiTheme="minorHAnsi"/>
                <w:b/>
                <w:color w:val="000000" w:themeColor="text1"/>
                <w:sz w:val="22"/>
                <w:szCs w:val="22"/>
              </w:rPr>
            </w:pPr>
            <w:r w:rsidRPr="00C72304">
              <w:rPr>
                <w:rFonts w:asciiTheme="minorHAnsi" w:hAnsiTheme="minorHAnsi"/>
                <w:b/>
                <w:color w:val="000000" w:themeColor="text1"/>
                <w:sz w:val="22"/>
                <w:szCs w:val="22"/>
              </w:rPr>
              <w:t>(details)</w:t>
            </w:r>
          </w:p>
        </w:tc>
        <w:tc>
          <w:tcPr>
            <w:tcW w:w="7655" w:type="dxa"/>
            <w:tcBorders>
              <w:bottom w:val="single" w:sz="4" w:space="0" w:color="auto"/>
            </w:tcBorders>
          </w:tcPr>
          <w:p w:rsidR="000866EB" w:rsidRPr="000866EB" w:rsidRDefault="000866EB" w:rsidP="000866EB">
            <w:pPr>
              <w:pStyle w:val="bulletundertext"/>
              <w:numPr>
                <w:ilvl w:val="0"/>
                <w:numId w:val="0"/>
              </w:numPr>
              <w:spacing w:before="60" w:after="60" w:line="240" w:lineRule="auto"/>
              <w:ind w:left="357" w:hanging="357"/>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Starter</w:t>
            </w:r>
          </w:p>
          <w:p w:rsidR="00A2165D" w:rsidRDefault="00A2165D" w:rsidP="000866EB">
            <w:pPr>
              <w:pStyle w:val="bulletundertext"/>
              <w:numPr>
                <w:ilvl w:val="0"/>
                <w:numId w:val="0"/>
              </w:numPr>
              <w:spacing w:before="120" w:after="120" w:line="240" w:lineRule="auto"/>
              <w:ind w:left="357" w:hanging="357"/>
              <w:rPr>
                <w:rFonts w:asciiTheme="minorHAnsi" w:hAnsiTheme="minorHAnsi"/>
                <w:color w:val="000000" w:themeColor="text1"/>
                <w:sz w:val="22"/>
                <w:szCs w:val="22"/>
              </w:rPr>
            </w:pPr>
            <w:r>
              <w:rPr>
                <w:rFonts w:asciiTheme="minorHAnsi" w:hAnsiTheme="minorHAnsi"/>
                <w:noProof/>
                <w:color w:val="000000" w:themeColor="text1"/>
                <w:sz w:val="22"/>
                <w:szCs w:val="22"/>
              </w:rPr>
              <w:drawing>
                <wp:inline distT="0" distB="0" distL="0" distR="0" wp14:anchorId="05770C00">
                  <wp:extent cx="1219200" cy="1046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046480"/>
                          </a:xfrm>
                          <a:prstGeom prst="rect">
                            <a:avLst/>
                          </a:prstGeom>
                          <a:noFill/>
                        </pic:spPr>
                      </pic:pic>
                    </a:graphicData>
                  </a:graphic>
                </wp:inline>
              </w:drawing>
            </w:r>
          </w:p>
          <w:p w:rsidR="00A2165D" w:rsidRPr="00A2165D" w:rsidRDefault="00A2165D" w:rsidP="00A2165D">
            <w:pPr>
              <w:pStyle w:val="bulletundertext"/>
              <w:numPr>
                <w:ilvl w:val="0"/>
                <w:numId w:val="0"/>
              </w:numPr>
              <w:spacing w:before="120" w:after="120" w:line="240" w:lineRule="auto"/>
              <w:ind w:left="357" w:hanging="357"/>
              <w:rPr>
                <w:rFonts w:asciiTheme="minorHAnsi" w:hAnsiTheme="minorHAnsi"/>
                <w:color w:val="000000" w:themeColor="text1"/>
                <w:sz w:val="22"/>
                <w:szCs w:val="22"/>
              </w:rPr>
            </w:pPr>
            <w:r w:rsidRPr="00A2165D">
              <w:rPr>
                <w:rFonts w:asciiTheme="minorHAnsi" w:hAnsiTheme="minorHAnsi"/>
                <w:color w:val="000000" w:themeColor="text1"/>
                <w:sz w:val="22"/>
                <w:szCs w:val="22"/>
              </w:rPr>
              <w:t>Think / Pair / Share</w:t>
            </w:r>
          </w:p>
          <w:p w:rsidR="00A2165D" w:rsidRPr="00A2165D" w:rsidRDefault="00A2165D" w:rsidP="00A2165D">
            <w:pPr>
              <w:pStyle w:val="bulletundertext"/>
              <w:numPr>
                <w:ilvl w:val="0"/>
                <w:numId w:val="0"/>
              </w:numPr>
              <w:spacing w:before="120" w:after="120" w:line="240" w:lineRule="auto"/>
              <w:rPr>
                <w:rFonts w:asciiTheme="minorHAnsi" w:hAnsiTheme="minorHAnsi"/>
                <w:color w:val="000000" w:themeColor="text1"/>
                <w:sz w:val="22"/>
                <w:szCs w:val="22"/>
              </w:rPr>
            </w:pPr>
            <w:r w:rsidRPr="00A2165D">
              <w:rPr>
                <w:rFonts w:asciiTheme="minorHAnsi" w:hAnsiTheme="minorHAnsi"/>
                <w:color w:val="000000" w:themeColor="text1"/>
                <w:sz w:val="22"/>
                <w:szCs w:val="22"/>
              </w:rPr>
              <w:t>What goes in the boxes?</w:t>
            </w:r>
          </w:p>
          <w:p w:rsidR="00A2165D" w:rsidRDefault="00A2165D" w:rsidP="00A2165D">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What is ‘a’ </w:t>
            </w:r>
            <w:r w:rsidRPr="00A2165D">
              <w:rPr>
                <w:rFonts w:asciiTheme="minorHAnsi" w:hAnsiTheme="minorHAnsi"/>
                <w:color w:val="000000" w:themeColor="text1"/>
                <w:sz w:val="22"/>
                <w:szCs w:val="22"/>
              </w:rPr>
              <w:t xml:space="preserve">and what is </w:t>
            </w:r>
            <w:r>
              <w:rPr>
                <w:rFonts w:asciiTheme="minorHAnsi" w:hAnsiTheme="minorHAnsi"/>
                <w:color w:val="000000" w:themeColor="text1"/>
                <w:sz w:val="22"/>
                <w:szCs w:val="22"/>
              </w:rPr>
              <w:t>‘</w:t>
            </w:r>
            <w:r w:rsidRPr="00A2165D">
              <w:rPr>
                <w:rFonts w:asciiTheme="minorHAnsi" w:hAnsiTheme="minorHAnsi"/>
                <w:color w:val="000000" w:themeColor="text1"/>
                <w:sz w:val="22"/>
                <w:szCs w:val="22"/>
              </w:rPr>
              <w:t>b</w:t>
            </w:r>
            <w:r>
              <w:rPr>
                <w:rFonts w:asciiTheme="minorHAnsi" w:hAnsiTheme="minorHAnsi"/>
                <w:color w:val="000000" w:themeColor="text1"/>
                <w:sz w:val="22"/>
                <w:szCs w:val="22"/>
              </w:rPr>
              <w:t>’</w:t>
            </w:r>
            <w:r w:rsidRPr="00A2165D">
              <w:rPr>
                <w:rFonts w:asciiTheme="minorHAnsi" w:hAnsiTheme="minorHAnsi"/>
                <w:color w:val="000000" w:themeColor="text1"/>
                <w:sz w:val="22"/>
                <w:szCs w:val="22"/>
              </w:rPr>
              <w:t>?</w:t>
            </w:r>
          </w:p>
          <w:p w:rsidR="00A2165D" w:rsidRPr="00A2165D" w:rsidRDefault="00A2165D" w:rsidP="00A2165D">
            <w:pPr>
              <w:pStyle w:val="bulletundertext"/>
              <w:numPr>
                <w:ilvl w:val="0"/>
                <w:numId w:val="0"/>
              </w:numPr>
              <w:spacing w:before="120" w:after="120" w:line="240" w:lineRule="auto"/>
              <w:rPr>
                <w:rFonts w:asciiTheme="minorHAnsi" w:hAnsiTheme="minorHAnsi"/>
                <w:color w:val="000000" w:themeColor="text1"/>
                <w:sz w:val="22"/>
                <w:szCs w:val="22"/>
              </w:rPr>
            </w:pPr>
            <w:r>
              <w:rPr>
                <w:rFonts w:asciiTheme="minorHAnsi" w:hAnsiTheme="minorHAnsi"/>
                <w:color w:val="000000" w:themeColor="text1"/>
                <w:sz w:val="22"/>
                <w:szCs w:val="22"/>
              </w:rPr>
              <w:t>Ask pupils to share their answers, the discussion should lead pupils to an understanding that ‘a’ and ‘b’ could be any values that sum to 5. If pupils do not suggest negative numbers or decimal numbers then lead them to consider this.</w:t>
            </w:r>
          </w:p>
          <w:p w:rsidR="000866EB" w:rsidRPr="000866EB" w:rsidRDefault="000866EB" w:rsidP="00E123F4">
            <w:pPr>
              <w:pStyle w:val="bulletundertext"/>
              <w:numPr>
                <w:ilvl w:val="0"/>
                <w:numId w:val="0"/>
              </w:numPr>
              <w:spacing w:before="120" w:after="120" w:line="240" w:lineRule="auto"/>
              <w:rPr>
                <w:rFonts w:asciiTheme="minorHAnsi" w:hAnsiTheme="minorHAnsi"/>
                <w:color w:val="000000" w:themeColor="text1"/>
                <w:sz w:val="22"/>
                <w:szCs w:val="22"/>
                <w:u w:val="single"/>
              </w:rPr>
            </w:pPr>
            <w:r w:rsidRPr="000866EB">
              <w:rPr>
                <w:rFonts w:asciiTheme="minorHAnsi" w:hAnsiTheme="minorHAnsi"/>
                <w:color w:val="000000" w:themeColor="text1"/>
                <w:sz w:val="22"/>
                <w:szCs w:val="22"/>
                <w:u w:val="single"/>
              </w:rPr>
              <w:t>Main Activity</w:t>
            </w:r>
          </w:p>
          <w:p w:rsidR="008C6C39" w:rsidRDefault="00A2165D" w:rsidP="007A2331">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 xml:space="preserve">Give the class some word statements and ask them to write an expression on their white boards. Increase the level of difficulty, </w:t>
            </w:r>
            <w:proofErr w:type="spellStart"/>
            <w:r>
              <w:rPr>
                <w:rFonts w:asciiTheme="minorHAnsi" w:hAnsiTheme="minorHAnsi"/>
                <w:color w:val="000000" w:themeColor="text1"/>
                <w:sz w:val="22"/>
                <w:szCs w:val="22"/>
              </w:rPr>
              <w:t>e.g</w:t>
            </w:r>
            <w:proofErr w:type="spellEnd"/>
          </w:p>
          <w:p w:rsidR="00A2165D" w:rsidRDefault="00A2165D" w:rsidP="007A2331">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 Show me a number add 2”</w:t>
            </w:r>
          </w:p>
          <w:p w:rsidR="00A2165D" w:rsidRDefault="00A2165D" w:rsidP="007A2331">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“Show me a number multiplied by 3”</w:t>
            </w:r>
          </w:p>
          <w:p w:rsidR="00A2165D" w:rsidRDefault="00A2165D" w:rsidP="007A2331">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“Show me a number divided by 5”</w:t>
            </w:r>
          </w:p>
          <w:p w:rsidR="00A2165D" w:rsidRDefault="00A2165D" w:rsidP="007A2331">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“Show me a number add two then multiplied by 7.”</w:t>
            </w:r>
          </w:p>
          <w:p w:rsidR="00A2165D" w:rsidRDefault="00A2165D" w:rsidP="007A2331">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This activity provides an opportunity to explain that the multiplication sign is not used whe</w:t>
            </w:r>
            <w:r w:rsidR="00E123F4">
              <w:rPr>
                <w:rFonts w:asciiTheme="minorHAnsi" w:hAnsiTheme="minorHAnsi"/>
                <w:color w:val="000000" w:themeColor="text1"/>
                <w:sz w:val="22"/>
                <w:szCs w:val="22"/>
              </w:rPr>
              <w:t>n writing algebraic expressions and to introduce brackets.</w:t>
            </w:r>
          </w:p>
          <w:p w:rsidR="00E123F4" w:rsidRDefault="00E123F4" w:rsidP="007A2331">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Pupils to then complete the matching activity. This is differentiated from simple expressions to expressions involving brackets and indices.</w:t>
            </w:r>
          </w:p>
          <w:p w:rsidR="00E123F4" w:rsidRDefault="00E123F4" w:rsidP="000866EB">
            <w:pPr>
              <w:pStyle w:val="bulletundertext"/>
              <w:numPr>
                <w:ilvl w:val="0"/>
                <w:numId w:val="0"/>
              </w:numPr>
              <w:spacing w:after="0" w:line="240" w:lineRule="auto"/>
              <w:rPr>
                <w:rFonts w:asciiTheme="minorHAnsi" w:hAnsiTheme="minorHAnsi"/>
                <w:color w:val="000000" w:themeColor="text1"/>
                <w:sz w:val="22"/>
                <w:szCs w:val="22"/>
              </w:rPr>
            </w:pPr>
            <w:r w:rsidRPr="00E123F4">
              <w:rPr>
                <w:rFonts w:asciiTheme="minorHAnsi" w:hAnsiTheme="minorHAnsi"/>
                <w:color w:val="000000" w:themeColor="text1"/>
                <w:sz w:val="22"/>
                <w:szCs w:val="22"/>
              </w:rPr>
              <w:t>Ask pupils to choose one of their expressions and write down 5 equivalent expressions.</w:t>
            </w:r>
          </w:p>
          <w:p w:rsidR="00E123F4" w:rsidRDefault="00E123F4" w:rsidP="000866EB">
            <w:pPr>
              <w:pStyle w:val="bulletundertext"/>
              <w:numPr>
                <w:ilvl w:val="0"/>
                <w:numId w:val="0"/>
              </w:numPr>
              <w:spacing w:after="0" w:line="240" w:lineRule="auto"/>
              <w:rPr>
                <w:rFonts w:asciiTheme="minorHAnsi" w:hAnsiTheme="minorHAnsi"/>
                <w:color w:val="000000" w:themeColor="text1"/>
                <w:sz w:val="22"/>
                <w:szCs w:val="22"/>
                <w:u w:val="single"/>
              </w:rPr>
            </w:pPr>
          </w:p>
          <w:p w:rsidR="000866EB" w:rsidRPr="008C6C39" w:rsidRDefault="000866EB" w:rsidP="000866EB">
            <w:pPr>
              <w:pStyle w:val="bulletundertext"/>
              <w:numPr>
                <w:ilvl w:val="0"/>
                <w:numId w:val="0"/>
              </w:numPr>
              <w:spacing w:after="0" w:line="240" w:lineRule="auto"/>
              <w:rPr>
                <w:rFonts w:asciiTheme="minorHAnsi" w:hAnsiTheme="minorHAnsi"/>
                <w:color w:val="000000" w:themeColor="text1"/>
                <w:sz w:val="22"/>
                <w:szCs w:val="22"/>
                <w:u w:val="single"/>
              </w:rPr>
            </w:pPr>
            <w:r w:rsidRPr="008C6C39">
              <w:rPr>
                <w:rFonts w:asciiTheme="minorHAnsi" w:hAnsiTheme="minorHAnsi"/>
                <w:color w:val="000000" w:themeColor="text1"/>
                <w:sz w:val="22"/>
                <w:szCs w:val="22"/>
                <w:u w:val="single"/>
              </w:rPr>
              <w:t xml:space="preserve">Plenary  </w:t>
            </w:r>
          </w:p>
          <w:p w:rsidR="008C6C39" w:rsidRDefault="00E123F4" w:rsidP="000866EB">
            <w:pPr>
              <w:pStyle w:val="bulletundertext"/>
              <w:numPr>
                <w:ilvl w:val="0"/>
                <w:numId w:val="0"/>
              </w:numPr>
              <w:spacing w:after="0" w:line="240" w:lineRule="auto"/>
              <w:rPr>
                <w:rFonts w:asciiTheme="minorHAnsi" w:hAnsiTheme="minorHAnsi"/>
                <w:color w:val="000000" w:themeColor="text1"/>
                <w:sz w:val="22"/>
                <w:szCs w:val="22"/>
              </w:rPr>
            </w:pPr>
            <w:r>
              <w:rPr>
                <w:rFonts w:asciiTheme="minorHAnsi" w:hAnsiTheme="minorHAnsi"/>
                <w:color w:val="000000" w:themeColor="text1"/>
                <w:sz w:val="22"/>
                <w:szCs w:val="22"/>
              </w:rPr>
              <w:t>Class discussion, expressions equivalent to 3y + 4</w:t>
            </w:r>
          </w:p>
          <w:p w:rsidR="000866EB" w:rsidRPr="00C72304" w:rsidRDefault="000866EB" w:rsidP="00E123F4">
            <w:pPr>
              <w:pStyle w:val="bulletundertext"/>
              <w:numPr>
                <w:ilvl w:val="0"/>
                <w:numId w:val="0"/>
              </w:numPr>
              <w:spacing w:after="0" w:line="240" w:lineRule="auto"/>
              <w:rPr>
                <w:rFonts w:asciiTheme="minorHAnsi" w:hAnsiTheme="minorHAnsi"/>
                <w:color w:val="000000" w:themeColor="text1"/>
                <w:sz w:val="22"/>
                <w:szCs w:val="22"/>
              </w:rPr>
            </w:pPr>
          </w:p>
        </w:tc>
      </w:tr>
      <w:tr w:rsidR="00C72304" w:rsidRPr="00C72304" w:rsidTr="008C7E9F">
        <w:trPr>
          <w:trHeight w:val="416"/>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&gt;H</w:t>
            </w:r>
          </w:p>
        </w:tc>
        <w:tc>
          <w:tcPr>
            <w:tcW w:w="7655" w:type="dxa"/>
            <w:tcBorders>
              <w:top w:val="single" w:sz="4" w:space="0" w:color="auto"/>
            </w:tcBorders>
            <w:shd w:val="clear" w:color="auto" w:fill="000000" w:themeFill="text1"/>
          </w:tcPr>
          <w:p w:rsidR="00C72304" w:rsidRPr="00CA5DC2" w:rsidRDefault="00E123F4" w:rsidP="00CA5DC2">
            <w:pPr>
              <w:pStyle w:val="bulletundertext"/>
              <w:numPr>
                <w:ilvl w:val="0"/>
                <w:numId w:val="0"/>
              </w:numPr>
              <w:spacing w:before="120" w:after="120" w:line="240" w:lineRule="auto"/>
              <w:rPr>
                <w:rFonts w:ascii="Times New Roman" w:hAnsi="Times New Roman"/>
                <w:b/>
                <w:color w:val="FFFFFF" w:themeColor="background1"/>
                <w:sz w:val="20"/>
                <w:szCs w:val="20"/>
              </w:rPr>
            </w:pPr>
            <w:r>
              <w:rPr>
                <w:rFonts w:ascii="Times New Roman" w:hAnsi="Times New Roman"/>
                <w:b/>
                <w:color w:val="FFFFFF" w:themeColor="background1"/>
                <w:sz w:val="20"/>
                <w:szCs w:val="20"/>
              </w:rPr>
              <w:t>Pupils to write equivalent expressions containing brackets and indices.</w:t>
            </w:r>
          </w:p>
        </w:tc>
      </w:tr>
      <w:tr w:rsidR="00C72304" w:rsidRPr="00C72304" w:rsidTr="00C72304">
        <w:trPr>
          <w:trHeight w:val="36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H</w:t>
            </w:r>
          </w:p>
        </w:tc>
        <w:tc>
          <w:tcPr>
            <w:tcW w:w="7655" w:type="dxa"/>
            <w:shd w:val="clear" w:color="auto" w:fill="808080" w:themeFill="background1" w:themeFillShade="80"/>
          </w:tcPr>
          <w:p w:rsidR="00C72304" w:rsidRPr="00C72304" w:rsidRDefault="00E123F4" w:rsidP="00C72304">
            <w:pPr>
              <w:pStyle w:val="bulletundertext"/>
              <w:numPr>
                <w:ilvl w:val="0"/>
                <w:numId w:val="0"/>
              </w:numPr>
              <w:spacing w:before="120" w:after="120"/>
              <w:rPr>
                <w:rFonts w:ascii="Calibri" w:hAnsi="Calibri"/>
                <w:color w:val="FFFFFF" w:themeColor="background1"/>
                <w:sz w:val="20"/>
                <w:szCs w:val="20"/>
              </w:rPr>
            </w:pPr>
            <w:r>
              <w:rPr>
                <w:rFonts w:ascii="Calibri" w:hAnsi="Calibri"/>
                <w:color w:val="FFFFFF" w:themeColor="background1"/>
                <w:sz w:val="20"/>
                <w:szCs w:val="20"/>
              </w:rPr>
              <w:t>Pupils to match</w:t>
            </w:r>
            <w:r w:rsidRPr="00E123F4">
              <w:rPr>
                <w:rFonts w:ascii="Calibri" w:hAnsi="Calibri"/>
                <w:color w:val="FFFFFF" w:themeColor="background1"/>
                <w:sz w:val="20"/>
                <w:szCs w:val="20"/>
              </w:rPr>
              <w:t xml:space="preserve"> expres</w:t>
            </w:r>
            <w:r>
              <w:rPr>
                <w:rFonts w:ascii="Calibri" w:hAnsi="Calibri"/>
                <w:color w:val="FFFFFF" w:themeColor="background1"/>
                <w:sz w:val="20"/>
                <w:szCs w:val="20"/>
              </w:rPr>
              <w:t>sions to their meaning in words including expressions containing brackets and indices</w:t>
            </w:r>
            <w:bookmarkStart w:id="0" w:name="_GoBack"/>
            <w:bookmarkEnd w:id="0"/>
            <w:r>
              <w:rPr>
                <w:rFonts w:ascii="Calibri" w:hAnsi="Calibri"/>
                <w:color w:val="FFFFFF" w:themeColor="background1"/>
                <w:sz w:val="20"/>
                <w:szCs w:val="20"/>
              </w:rPr>
              <w:t>.</w:t>
            </w:r>
          </w:p>
        </w:tc>
      </w:tr>
      <w:tr w:rsidR="00C72304" w:rsidRPr="00C72304" w:rsidTr="00C72304">
        <w:trPr>
          <w:trHeight w:val="415"/>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M</w:t>
            </w:r>
          </w:p>
        </w:tc>
        <w:tc>
          <w:tcPr>
            <w:tcW w:w="7655" w:type="dxa"/>
            <w:shd w:val="clear" w:color="auto" w:fill="BFBFBF" w:themeFill="background1" w:themeFillShade="BF"/>
          </w:tcPr>
          <w:p w:rsidR="00C72304" w:rsidRPr="00C72304" w:rsidRDefault="00E123F4" w:rsidP="00C72304">
            <w:pPr>
              <w:pStyle w:val="bulletundertext"/>
              <w:numPr>
                <w:ilvl w:val="0"/>
                <w:numId w:val="0"/>
              </w:numPr>
              <w:spacing w:before="120" w:after="120" w:line="240" w:lineRule="auto"/>
              <w:rPr>
                <w:rFonts w:ascii="Calibri" w:hAnsi="Calibri"/>
                <w:b/>
                <w:sz w:val="20"/>
                <w:szCs w:val="20"/>
              </w:rPr>
            </w:pPr>
            <w:r>
              <w:rPr>
                <w:rFonts w:ascii="Calibri" w:hAnsi="Calibri"/>
                <w:b/>
                <w:sz w:val="20"/>
                <w:szCs w:val="20"/>
              </w:rPr>
              <w:t xml:space="preserve">Pupils to match </w:t>
            </w:r>
            <w:r w:rsidRPr="00E123F4">
              <w:rPr>
                <w:rFonts w:ascii="Calibri" w:hAnsi="Calibri"/>
                <w:b/>
                <w:sz w:val="20"/>
                <w:szCs w:val="20"/>
              </w:rPr>
              <w:t>expres</w:t>
            </w:r>
            <w:r>
              <w:rPr>
                <w:rFonts w:ascii="Calibri" w:hAnsi="Calibri"/>
                <w:b/>
                <w:sz w:val="20"/>
                <w:szCs w:val="20"/>
              </w:rPr>
              <w:t>sions to their meaning in words, including expressions containing brackets.</w:t>
            </w:r>
          </w:p>
        </w:tc>
      </w:tr>
      <w:tr w:rsidR="00C72304" w:rsidRPr="00C72304" w:rsidTr="00C72304">
        <w:trPr>
          <w:trHeight w:val="557"/>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lastRenderedPageBreak/>
              <w:t>L</w:t>
            </w:r>
          </w:p>
        </w:tc>
        <w:tc>
          <w:tcPr>
            <w:tcW w:w="7655" w:type="dxa"/>
            <w:shd w:val="clear" w:color="auto" w:fill="F2F2F2" w:themeFill="background1" w:themeFillShade="F2"/>
          </w:tcPr>
          <w:p w:rsidR="00C72304" w:rsidRPr="00C72304" w:rsidRDefault="00E123F4" w:rsidP="00CA5DC2">
            <w:pPr>
              <w:pStyle w:val="bulletundertext"/>
              <w:numPr>
                <w:ilvl w:val="0"/>
                <w:numId w:val="0"/>
              </w:numPr>
              <w:spacing w:after="0" w:line="240" w:lineRule="auto"/>
              <w:rPr>
                <w:rFonts w:asciiTheme="minorHAnsi" w:hAnsiTheme="minorHAnsi"/>
                <w:b/>
                <w:sz w:val="20"/>
                <w:szCs w:val="20"/>
              </w:rPr>
            </w:pPr>
            <w:r>
              <w:rPr>
                <w:rFonts w:asciiTheme="minorHAnsi" w:hAnsiTheme="minorHAnsi"/>
                <w:b/>
                <w:sz w:val="20"/>
                <w:szCs w:val="20"/>
              </w:rPr>
              <w:t>Pupils to match simple expressions to their meaning in words.</w:t>
            </w:r>
          </w:p>
        </w:tc>
      </w:tr>
      <w:tr w:rsidR="00C72304" w:rsidRPr="00C72304" w:rsidTr="00C72304">
        <w:trPr>
          <w:trHeight w:val="542"/>
        </w:trPr>
        <w:tc>
          <w:tcPr>
            <w:tcW w:w="1276" w:type="dxa"/>
          </w:tcPr>
          <w:p w:rsidR="00C72304" w:rsidRPr="00C72304" w:rsidRDefault="00C72304" w:rsidP="00C72304">
            <w:pPr>
              <w:pStyle w:val="bulletundertext"/>
              <w:numPr>
                <w:ilvl w:val="0"/>
                <w:numId w:val="0"/>
              </w:numPr>
              <w:spacing w:before="120" w:after="120" w:line="240" w:lineRule="auto"/>
              <w:rPr>
                <w:rFonts w:asciiTheme="minorHAnsi" w:hAnsiTheme="minorHAnsi"/>
                <w:b/>
                <w:sz w:val="20"/>
                <w:szCs w:val="20"/>
              </w:rPr>
            </w:pPr>
            <w:r w:rsidRPr="00C72304">
              <w:rPr>
                <w:rFonts w:asciiTheme="minorHAnsi" w:hAnsiTheme="minorHAnsi"/>
                <w:b/>
                <w:sz w:val="20"/>
                <w:szCs w:val="20"/>
              </w:rPr>
              <w:t>&lt;L</w:t>
            </w:r>
          </w:p>
        </w:tc>
        <w:tc>
          <w:tcPr>
            <w:tcW w:w="7655" w:type="dxa"/>
          </w:tcPr>
          <w:p w:rsidR="00C72304" w:rsidRPr="00C72304" w:rsidRDefault="00E123F4" w:rsidP="00C72304">
            <w:pPr>
              <w:pStyle w:val="bulletundertext"/>
              <w:numPr>
                <w:ilvl w:val="0"/>
                <w:numId w:val="0"/>
              </w:numPr>
              <w:spacing w:before="120" w:after="120" w:line="240" w:lineRule="auto"/>
              <w:rPr>
                <w:rFonts w:asciiTheme="minorHAnsi" w:hAnsiTheme="minorHAnsi"/>
                <w:sz w:val="20"/>
                <w:szCs w:val="20"/>
              </w:rPr>
            </w:pPr>
            <w:r>
              <w:rPr>
                <w:rFonts w:asciiTheme="minorHAnsi" w:hAnsiTheme="minorHAnsi"/>
                <w:sz w:val="20"/>
                <w:szCs w:val="20"/>
              </w:rPr>
              <w:t>Pupils to collect like terms.</w:t>
            </w:r>
          </w:p>
        </w:tc>
      </w:tr>
    </w:tbl>
    <w:p w:rsidR="008C3894" w:rsidRPr="00C877D3" w:rsidRDefault="008C3894" w:rsidP="00C72304">
      <w:pPr>
        <w:spacing w:before="120" w:after="120"/>
        <w:rPr>
          <w:sz w:val="20"/>
          <w:szCs w:val="20"/>
        </w:rPr>
      </w:pPr>
    </w:p>
    <w:sectPr w:rsidR="008C3894" w:rsidRPr="00C877D3" w:rsidSect="00C7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0C4"/>
    <w:multiLevelType w:val="hybridMultilevel"/>
    <w:tmpl w:val="8ADEF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nsid w:val="3EEF0E10"/>
    <w:multiLevelType w:val="hybridMultilevel"/>
    <w:tmpl w:val="1992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82"/>
    <w:rsid w:val="000866EB"/>
    <w:rsid w:val="00242B81"/>
    <w:rsid w:val="003B747A"/>
    <w:rsid w:val="005266BD"/>
    <w:rsid w:val="006D2B26"/>
    <w:rsid w:val="007724E8"/>
    <w:rsid w:val="007A2331"/>
    <w:rsid w:val="007F649D"/>
    <w:rsid w:val="008578B9"/>
    <w:rsid w:val="00881564"/>
    <w:rsid w:val="008C3894"/>
    <w:rsid w:val="008C6C39"/>
    <w:rsid w:val="008C7E9F"/>
    <w:rsid w:val="00A2165D"/>
    <w:rsid w:val="00BE1BD9"/>
    <w:rsid w:val="00C72304"/>
    <w:rsid w:val="00C877D3"/>
    <w:rsid w:val="00CA5DC2"/>
    <w:rsid w:val="00CB6182"/>
    <w:rsid w:val="00D0505E"/>
    <w:rsid w:val="00E1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2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CB6182"/>
    <w:pPr>
      <w:numPr>
        <w:numId w:val="1"/>
      </w:numPr>
      <w:spacing w:after="240" w:line="288" w:lineRule="auto"/>
    </w:pPr>
    <w:rPr>
      <w:rFonts w:ascii="Arial" w:eastAsia="Times New Roman" w:hAnsi="Arial" w:cs="Arial"/>
      <w:sz w:val="24"/>
      <w:szCs w:val="24"/>
    </w:rPr>
  </w:style>
  <w:style w:type="table" w:styleId="TableGrid">
    <w:name w:val="Table Grid"/>
    <w:basedOn w:val="TableNormal"/>
    <w:uiPriority w:val="59"/>
    <w:rsid w:val="00CB6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numbered">
    <w:name w:val="bullet (under numbered)"/>
    <w:rsid w:val="00C72304"/>
    <w:pPr>
      <w:numPr>
        <w:numId w:val="2"/>
      </w:numPr>
      <w:spacing w:after="240" w:line="288"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A21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6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dc:creator>
  <cp:lastModifiedBy>zeb1</cp:lastModifiedBy>
  <cp:revision>2</cp:revision>
  <dcterms:created xsi:type="dcterms:W3CDTF">2015-01-25T00:24:00Z</dcterms:created>
  <dcterms:modified xsi:type="dcterms:W3CDTF">2015-01-25T00:24:00Z</dcterms:modified>
</cp:coreProperties>
</file>